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22114A38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EC5F32" w:rsidRPr="00EC5F32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30 de abril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</w:t>
      </w:r>
      <w:proofErr w:type="spellStart"/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Imserso</w:t>
      </w:r>
      <w:proofErr w:type="spellEnd"/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29349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29349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29349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29349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29349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29349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4BAE2B30" w14:textId="57CB50E6" w:rsidR="0029349F" w:rsidRPr="0029349F" w:rsidRDefault="002F1F0F" w:rsidP="0029349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29349F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29349F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Las variables de clasificación son el grado de dependencia de las resoluciones de grado, el tipo de prestación y el ámbito geográfico.</w:t>
      </w:r>
    </w:p>
    <w:p w14:paraId="259CD279" w14:textId="45C8E97C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Solicitudes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1FF2A75" w14:textId="60A162CA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Resoluciones de grado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Es el número de personas que tienen una resolución de grado vigente en la fecha de referencia, cualquiera que sea el grado/nivel o grado reconocido (incluido el “Sin grado”),</w:t>
      </w:r>
      <w:r w:rsidRPr="0029349F">
        <w:rPr>
          <w:rFonts w:ascii="Calibri" w:eastAsia="Calibri" w:hAnsi="Calibri" w:cs="Times New Roman"/>
          <w:sz w:val="14"/>
          <w:szCs w:val="14"/>
          <w:lang w:val="en-US"/>
        </w:rPr>
        <w:t xml:space="preserve"> </w:t>
      </w:r>
      <w:r w:rsidRPr="0029349F">
        <w:rPr>
          <w:rFonts w:ascii="Arial" w:eastAsia="Calibri" w:hAnsi="Arial" w:cs="Arial"/>
          <w:sz w:val="14"/>
          <w:szCs w:val="14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1A9CF0B" w14:textId="5C803471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Resoluciones de grado con derecho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CC5C52A" w14:textId="5E533955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Solicitudes pendientes de resolución de grado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Se trata de aquellas solicitudes vigentes menos el número de resoluciones de grado vigentes. Este concepto incluye:</w:t>
      </w:r>
    </w:p>
    <w:p w14:paraId="2A29CBD4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>Tiempo de espera:</w:t>
      </w:r>
      <w:r w:rsidRPr="0029349F">
        <w:rPr>
          <w:rFonts w:ascii="Arial" w:eastAsia="Calibri" w:hAnsi="Arial" w:cs="Arial"/>
          <w:sz w:val="14"/>
          <w:szCs w:val="14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Motivo de exclusión no imputable a la administración: </w:t>
      </w:r>
    </w:p>
    <w:p w14:paraId="016FEFCD" w14:textId="77777777" w:rsidR="002F1F0F" w:rsidRPr="0029349F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Con motivo de exclusión:</w:t>
      </w:r>
      <w:r w:rsidRPr="0029349F">
        <w:rPr>
          <w:rFonts w:ascii="Arial" w:eastAsia="Calibri" w:hAnsi="Arial" w:cs="Arial"/>
          <w:sz w:val="14"/>
          <w:szCs w:val="14"/>
        </w:rPr>
        <w:t xml:space="preserve"> Aquellas solicitudes que están pendientes de su primera resolución de grado por causas </w:t>
      </w:r>
      <w:r w:rsidRPr="0029349F">
        <w:rPr>
          <w:rFonts w:ascii="Arial" w:eastAsia="Calibri" w:hAnsi="Arial" w:cs="Arial"/>
          <w:b/>
          <w:bCs/>
          <w:sz w:val="14"/>
          <w:szCs w:val="14"/>
        </w:rPr>
        <w:t>no</w:t>
      </w:r>
      <w:r w:rsidRPr="0029349F">
        <w:rPr>
          <w:rFonts w:ascii="Arial" w:eastAsia="Calibri" w:hAnsi="Arial" w:cs="Arial"/>
          <w:sz w:val="14"/>
          <w:szCs w:val="14"/>
        </w:rPr>
        <w:t xml:space="preserve"> imputables a la administración. </w:t>
      </w:r>
    </w:p>
    <w:p w14:paraId="3E4F2CE4" w14:textId="77777777" w:rsidR="002F1F0F" w:rsidRPr="0029349F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Sin motivo de exclusión:</w:t>
      </w:r>
      <w:r w:rsidRPr="0029349F">
        <w:rPr>
          <w:rFonts w:ascii="Arial" w:eastAsia="Calibri" w:hAnsi="Arial" w:cs="Arial"/>
          <w:sz w:val="14"/>
          <w:szCs w:val="14"/>
        </w:rPr>
        <w:t xml:space="preserve"> Aquellas solicitudes que están pendientes de su primera resolución de grado por causas imputables a la administración. </w:t>
      </w:r>
    </w:p>
    <w:p w14:paraId="2BE7E14D" w14:textId="535EB5F7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Beneficiarios con prestación (efectiva o no)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Es el número de personas que ya tienen una resolución de Programa Individual de Atención (PIA), sean o no efectivas las prestaciones contenidas en el PIA (con fecha de efectos vigente).</w:t>
      </w:r>
      <w:r w:rsidRPr="0029349F">
        <w:rPr>
          <w:rFonts w:ascii="Calibri" w:eastAsia="Calibri" w:hAnsi="Calibri" w:cs="Times New Roman"/>
          <w:sz w:val="14"/>
          <w:szCs w:val="14"/>
          <w:lang w:val="en-US"/>
        </w:rPr>
        <w:t xml:space="preserve"> </w:t>
      </w:r>
      <w:r w:rsidRPr="0029349F">
        <w:rPr>
          <w:rFonts w:ascii="Arial" w:eastAsia="Calibri" w:hAnsi="Arial" w:cs="Arial"/>
          <w:sz w:val="14"/>
          <w:szCs w:val="14"/>
        </w:rPr>
        <w:t>Las causas de que las prestaciones aún no sean efectivas pueden ser ajenas a la Administración.</w:t>
      </w:r>
    </w:p>
    <w:p w14:paraId="350A8FBB" w14:textId="0FC1C759" w:rsidR="007A046C" w:rsidRPr="0029349F" w:rsidRDefault="007A046C" w:rsidP="0029349F">
      <w:pPr>
        <w:widowControl w:val="0"/>
        <w:spacing w:after="0" w:line="276" w:lineRule="auto"/>
        <w:ind w:left="85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 xml:space="preserve">Cuando se habla de prestación efectiva es aquella resolución de prestación que </w:t>
      </w:r>
      <w:r w:rsidRPr="0029349F">
        <w:rPr>
          <w:rFonts w:ascii="Arial" w:eastAsia="Calibri" w:hAnsi="Arial" w:cs="Arial"/>
          <w:sz w:val="14"/>
          <w:szCs w:val="14"/>
          <w:u w:val="single"/>
        </w:rPr>
        <w:t>no tiene fecha de efectos</w:t>
      </w:r>
      <w:r w:rsidRPr="0029349F">
        <w:rPr>
          <w:rFonts w:ascii="Arial" w:eastAsia="Calibri" w:hAnsi="Arial" w:cs="Arial"/>
          <w:sz w:val="14"/>
          <w:szCs w:val="14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29349F" w:rsidRDefault="002F1F0F" w:rsidP="0029349F">
      <w:pPr>
        <w:widowControl w:val="0"/>
        <w:spacing w:after="0" w:line="276" w:lineRule="auto"/>
        <w:ind w:left="85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32D7E841" w14:textId="2623E0EF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bookmarkStart w:id="1" w:name="_Hlk126311510"/>
      <w:r w:rsidRPr="0029349F">
        <w:rPr>
          <w:rFonts w:ascii="Arial" w:eastAsia="Calibri" w:hAnsi="Arial" w:cs="Arial"/>
          <w:color w:val="70AD47"/>
          <w:sz w:val="14"/>
          <w:szCs w:val="14"/>
        </w:rPr>
        <w:t>Beneficiarios sin prestación</w:t>
      </w:r>
      <w:bookmarkEnd w:id="1"/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>Tiempo de espera:</w:t>
      </w:r>
      <w:r w:rsidRPr="0029349F">
        <w:rPr>
          <w:rFonts w:ascii="Arial" w:eastAsia="Calibri" w:hAnsi="Arial" w:cs="Arial"/>
          <w:sz w:val="14"/>
          <w:szCs w:val="14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Motivo de exclusión no imputable a la administración: </w:t>
      </w:r>
    </w:p>
    <w:p w14:paraId="09949512" w14:textId="77777777" w:rsidR="002F1F0F" w:rsidRPr="0029349F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Con motivo de exclusión:</w:t>
      </w:r>
      <w:r w:rsidRPr="0029349F">
        <w:rPr>
          <w:rFonts w:ascii="Arial" w:eastAsia="Calibri" w:hAnsi="Arial" w:cs="Arial"/>
          <w:sz w:val="14"/>
          <w:szCs w:val="14"/>
        </w:rPr>
        <w:t xml:space="preserve"> Aquellas personas con resolución de grado con derecho a prestación que están pendientes de su primera resolución de PIA por causas </w:t>
      </w:r>
      <w:r w:rsidRPr="0029349F">
        <w:rPr>
          <w:rFonts w:ascii="Arial" w:eastAsia="Calibri" w:hAnsi="Arial" w:cs="Arial"/>
          <w:b/>
          <w:bCs/>
          <w:sz w:val="14"/>
          <w:szCs w:val="14"/>
        </w:rPr>
        <w:t>no</w:t>
      </w:r>
      <w:r w:rsidRPr="0029349F">
        <w:rPr>
          <w:rFonts w:ascii="Arial" w:eastAsia="Calibri" w:hAnsi="Arial" w:cs="Arial"/>
          <w:sz w:val="14"/>
          <w:szCs w:val="14"/>
        </w:rPr>
        <w:t xml:space="preserve"> imputables a la administración. </w:t>
      </w:r>
    </w:p>
    <w:p w14:paraId="2427799B" w14:textId="77777777" w:rsidR="002F1F0F" w:rsidRPr="0029349F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Sin motivo de exclusión</w:t>
      </w:r>
      <w:r w:rsidRPr="0029349F">
        <w:rPr>
          <w:rFonts w:ascii="Arial" w:eastAsia="Calibri" w:hAnsi="Arial" w:cs="Arial"/>
          <w:sz w:val="14"/>
          <w:szCs w:val="14"/>
        </w:rPr>
        <w:t xml:space="preserve"> Aquellas personas con resolución de grado con derecho a prestación que están pendientes de su primera resolución de PIA por causas imputables a la administración. </w:t>
      </w:r>
    </w:p>
    <w:p w14:paraId="165DEA63" w14:textId="001D2493" w:rsidR="002F1F0F" w:rsidRPr="0029349F" w:rsidRDefault="002F1F0F" w:rsidP="0029349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Prestaciones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  <w:r w:rsidRPr="0029349F">
        <w:rPr>
          <w:rFonts w:ascii="Arial" w:eastAsia="Calibri" w:hAnsi="Arial" w:cs="Arial"/>
          <w:sz w:val="14"/>
          <w:szCs w:val="14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Servicio de Prevención de dependencia y Promoción de Autonomía Personal: </w:t>
      </w:r>
    </w:p>
    <w:p w14:paraId="06521B75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Servicio de Teleasistencia: </w:t>
      </w:r>
    </w:p>
    <w:p w14:paraId="16F41BFE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Servicio de Ayuda a Domicilio: </w:t>
      </w:r>
    </w:p>
    <w:p w14:paraId="2DE29380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Servicio de Centro de Día o de Noche: </w:t>
      </w:r>
    </w:p>
    <w:p w14:paraId="68416020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i/>
          <w:iCs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 xml:space="preserve">Servicio de Atención Residencial: </w:t>
      </w:r>
    </w:p>
    <w:p w14:paraId="2F11A888" w14:textId="77777777" w:rsidR="002F1F0F" w:rsidRPr="0029349F" w:rsidRDefault="002F1F0F" w:rsidP="0029349F">
      <w:pPr>
        <w:widowControl w:val="0"/>
        <w:numPr>
          <w:ilvl w:val="0"/>
          <w:numId w:val="16"/>
        </w:numPr>
        <w:spacing w:after="0" w:line="276" w:lineRule="auto"/>
        <w:ind w:left="1418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i/>
          <w:iCs/>
          <w:sz w:val="14"/>
          <w:szCs w:val="14"/>
        </w:rPr>
        <w:t>Prestación económica Vinculada al servicio: La prestación</w:t>
      </w:r>
      <w:r w:rsidRPr="0029349F">
        <w:rPr>
          <w:rFonts w:ascii="Arial" w:eastAsia="Calibri" w:hAnsi="Arial" w:cs="Arial"/>
          <w:sz w:val="14"/>
          <w:szCs w:val="14"/>
        </w:rPr>
        <w:t xml:space="preserve"> económica vinculada al servicio tiene los siguientes subtipos:</w:t>
      </w:r>
    </w:p>
    <w:p w14:paraId="6DA188F5" w14:textId="77777777" w:rsidR="005E78F7" w:rsidRPr="0029349F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</w:p>
    <w:p w14:paraId="537B3B60" w14:textId="6E55D38C" w:rsidR="002F1F0F" w:rsidRPr="0029349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Prestación económica vinculada al servicio de Prevención de dependencia y Promoción de Autonomía Personal</w:t>
      </w:r>
    </w:p>
    <w:p w14:paraId="39A1C723" w14:textId="77777777" w:rsidR="002F1F0F" w:rsidRPr="0029349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Prestación económica vinculada al servicio de teleasistencia</w:t>
      </w:r>
    </w:p>
    <w:p w14:paraId="0E616DD3" w14:textId="77777777" w:rsidR="002F1F0F" w:rsidRPr="0029349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Prestación económica vinculada al servicio de ayuda a domicilio</w:t>
      </w:r>
    </w:p>
    <w:p w14:paraId="3BD5FA8A" w14:textId="7DF54C0D" w:rsidR="007A046C" w:rsidRPr="0029349F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Prestación económica vinculada al servicio de centro de día o de noche</w:t>
      </w:r>
    </w:p>
    <w:p w14:paraId="176C3864" w14:textId="77777777" w:rsidR="002F1F0F" w:rsidRPr="0029349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Prestación económica vinculada al servicio de atención residencial</w:t>
      </w:r>
    </w:p>
    <w:p w14:paraId="2DBC0927" w14:textId="77777777" w:rsidR="002F1F0F" w:rsidRPr="0029349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 xml:space="preserve">Prestación Económica de Cuidados en el entorno familiar: </w:t>
      </w:r>
    </w:p>
    <w:p w14:paraId="27B3EAE1" w14:textId="00D444A6" w:rsidR="00C45861" w:rsidRPr="0029349F" w:rsidRDefault="002F1F0F" w:rsidP="0029349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</w:rPr>
        <w:t>Prestación Económica de Asistencia Personal</w:t>
      </w:r>
      <w:r w:rsidR="007A046C" w:rsidRPr="0029349F">
        <w:rPr>
          <w:rFonts w:ascii="Arial" w:eastAsia="Calibri" w:hAnsi="Arial" w:cs="Arial"/>
          <w:sz w:val="14"/>
          <w:szCs w:val="14"/>
        </w:rPr>
        <w:t>.</w:t>
      </w:r>
    </w:p>
    <w:p w14:paraId="43747EC9" w14:textId="0CD6D9EF" w:rsidR="007A046C" w:rsidRPr="0029349F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4"/>
          <w:szCs w:val="14"/>
        </w:rPr>
      </w:pPr>
      <w:r w:rsidRPr="0029349F">
        <w:rPr>
          <w:rFonts w:ascii="Arial" w:eastAsia="Calibri" w:hAnsi="Arial" w:cs="Arial"/>
          <w:color w:val="70AD47"/>
          <w:sz w:val="14"/>
          <w:szCs w:val="14"/>
        </w:rPr>
        <w:t>Tiempos medios de gestión</w:t>
      </w:r>
      <w:r w:rsidR="0029349F" w:rsidRPr="0029349F">
        <w:rPr>
          <w:rFonts w:ascii="Arial" w:eastAsia="Calibri" w:hAnsi="Arial" w:cs="Arial"/>
          <w:color w:val="70AD47"/>
          <w:sz w:val="14"/>
          <w:szCs w:val="14"/>
        </w:rPr>
        <w:t xml:space="preserve">: </w:t>
      </w:r>
    </w:p>
    <w:p w14:paraId="5241B374" w14:textId="737B54D1" w:rsidR="00FB5DDA" w:rsidRPr="0029349F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Tiempo medio de gestión desde la solicitud hasta la resolución de prestación</w:t>
      </w:r>
      <w:r w:rsidRPr="0029349F">
        <w:rPr>
          <w:rFonts w:ascii="Arial" w:eastAsia="Calibri" w:hAnsi="Arial" w:cs="Arial"/>
          <w:sz w:val="14"/>
          <w:szCs w:val="14"/>
        </w:rPr>
        <w:t xml:space="preserve">: tiempo medio que transcurre desde la solicitud hasta la resolución de prestación. Para calcularlo </w:t>
      </w:r>
      <w:r w:rsidR="008675C1" w:rsidRPr="0029349F">
        <w:rPr>
          <w:rFonts w:ascii="Arial" w:eastAsia="Calibri" w:hAnsi="Arial" w:cs="Arial"/>
          <w:sz w:val="14"/>
          <w:szCs w:val="14"/>
        </w:rPr>
        <w:t>sólo se tiene en cuenta la primera resolución de prestación de cada persona solicitante</w:t>
      </w:r>
      <w:r w:rsidR="00C45861" w:rsidRPr="0029349F">
        <w:rPr>
          <w:rFonts w:ascii="Arial" w:eastAsia="Calibri" w:hAnsi="Arial" w:cs="Arial"/>
          <w:sz w:val="14"/>
          <w:szCs w:val="14"/>
        </w:rPr>
        <w:t>.</w:t>
      </w:r>
    </w:p>
    <w:p w14:paraId="034F4A29" w14:textId="4A1A56F2" w:rsidR="00FB5DDA" w:rsidRPr="0029349F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Tiempo medio de gestión desde la solicitud hasta la resolución de grado:</w:t>
      </w:r>
      <w:r w:rsidR="008675C1" w:rsidRPr="0029349F">
        <w:rPr>
          <w:rFonts w:ascii="Arial" w:eastAsia="Calibri" w:hAnsi="Arial" w:cs="Arial"/>
          <w:sz w:val="14"/>
          <w:szCs w:val="14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29349F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4"/>
          <w:szCs w:val="14"/>
        </w:rPr>
      </w:pPr>
      <w:r w:rsidRPr="0029349F">
        <w:rPr>
          <w:rFonts w:ascii="Arial" w:eastAsia="Calibri" w:hAnsi="Arial" w:cs="Arial"/>
          <w:sz w:val="14"/>
          <w:szCs w:val="14"/>
          <w:u w:val="single"/>
        </w:rPr>
        <w:t>Tiempo medio de gestión desde la resolución de grado hasta la resolución de prestación</w:t>
      </w:r>
      <w:r w:rsidRPr="0029349F">
        <w:rPr>
          <w:rFonts w:ascii="Arial" w:eastAsia="Calibri" w:hAnsi="Arial" w:cs="Arial"/>
          <w:sz w:val="14"/>
          <w:szCs w:val="14"/>
        </w:rPr>
        <w:t>:</w:t>
      </w:r>
      <w:r w:rsidR="008675C1" w:rsidRPr="0029349F">
        <w:rPr>
          <w:rFonts w:ascii="Arial" w:eastAsia="Calibri" w:hAnsi="Arial" w:cs="Arial"/>
          <w:sz w:val="14"/>
          <w:szCs w:val="14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41415676" w:rsidR="00470A3B" w:rsidRDefault="0029349F" w:rsidP="00FB5DDA">
      <w:pPr>
        <w:spacing w:after="0"/>
        <w:ind w:left="426"/>
      </w:pPr>
      <w:r>
        <w:pict w14:anchorId="74497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2.3pt;height:376.6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40E420A0" w:rsidR="0062411E" w:rsidRDefault="0029349F" w:rsidP="00C45861">
      <w:pPr>
        <w:spacing w:after="0"/>
        <w:jc w:val="center"/>
      </w:pPr>
      <w:r>
        <w:pict w14:anchorId="3B5EDA29">
          <v:shape id="_x0000_i1026" type="#_x0000_t75" style="width:415.4pt;height:243.9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2E3939D6" w:rsidR="007C5CEF" w:rsidRDefault="0029349F" w:rsidP="005F6E98">
      <w:pPr>
        <w:tabs>
          <w:tab w:val="left" w:pos="2931"/>
        </w:tabs>
        <w:spacing w:after="0"/>
      </w:pPr>
      <w:r>
        <w:pict w14:anchorId="30C26F6B">
          <v:shape id="_x0000_i1027" type="#_x0000_t75" style="width:382.8pt;height:165.25pt">
            <v:imagedata r:id="rId10" o:title=""/>
          </v:shape>
        </w:pict>
      </w:r>
      <w:r>
        <w:pict w14:anchorId="5021C6BC">
          <v:shape id="_x0000_i1028" type="#_x0000_t75" style="width:384.35pt;height:168.3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0F2BFF28" w14:textId="77777777" w:rsidR="00EC5F32" w:rsidRDefault="00EC5F32" w:rsidP="00EC5F3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1732B3E4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361F0A72" w:rsidR="00F64EE6" w:rsidRDefault="0029349F" w:rsidP="005F6E98">
      <w:pPr>
        <w:tabs>
          <w:tab w:val="left" w:pos="2931"/>
        </w:tabs>
        <w:spacing w:after="0"/>
      </w:pPr>
      <w:r>
        <w:pict w14:anchorId="20E61778">
          <v:shape id="_x0000_i1029" type="#_x0000_t75" style="width:746.95pt;height:223.25pt">
            <v:imagedata r:id="rId12" o:title=""/>
          </v:shape>
        </w:pict>
      </w:r>
    </w:p>
    <w:p w14:paraId="74CE3A80" w14:textId="7F82B657" w:rsidR="002C020A" w:rsidRDefault="0029349F" w:rsidP="005F6E98">
      <w:pPr>
        <w:tabs>
          <w:tab w:val="left" w:pos="2931"/>
        </w:tabs>
        <w:spacing w:after="0"/>
      </w:pPr>
      <w:r>
        <w:pict w14:anchorId="7BF19F8C">
          <v:shape id="_x0000_i1030" type="#_x0000_t75" style="width:384.35pt;height:208.25pt">
            <v:imagedata r:id="rId13" o:title=""/>
          </v:shape>
        </w:pict>
      </w:r>
      <w:r>
        <w:pict w14:anchorId="66AFFE83">
          <v:shape id="_x0000_i1031" type="#_x0000_t75" style="width:374.5pt;height:208.2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28A0CAC9" w14:textId="77777777" w:rsidR="00092838" w:rsidRPr="00092838" w:rsidRDefault="00092838" w:rsidP="007146C9">
      <w:pPr>
        <w:pStyle w:val="Ttulo2"/>
        <w:rPr>
          <w:rFonts w:asciiTheme="minorHAnsi" w:eastAsiaTheme="minorHAnsi" w:hAnsiTheme="minorHAnsi" w:cstheme="minorBidi"/>
        </w:rPr>
      </w:pPr>
    </w:p>
    <w:p w14:paraId="0D7D0142" w14:textId="7EE4F436" w:rsidR="006A2E8D" w:rsidRDefault="00487166" w:rsidP="006A2E8D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8" w:name="_Toc131491076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por Comunidad Autónoma</w:t>
      </w:r>
      <w:bookmarkEnd w:id="8"/>
    </w:p>
    <w:p w14:paraId="3079C7BC" w14:textId="3BE37B03" w:rsidR="007146C9" w:rsidRPr="007146C9" w:rsidRDefault="0029349F" w:rsidP="007146C9">
      <w:pPr>
        <w:rPr>
          <w:lang w:eastAsia="es-ES"/>
        </w:rPr>
      </w:pPr>
      <w:r>
        <w:pict w14:anchorId="20C4E074">
          <v:shape id="_x0000_i1032" type="#_x0000_t75" style="width:489.5pt;height:197.35pt">
            <v:imagedata r:id="rId17" o:title=""/>
          </v:shape>
        </w:pict>
      </w:r>
    </w:p>
    <w:p w14:paraId="55719AB0" w14:textId="5EE14A3A" w:rsidR="007146C9" w:rsidRDefault="0029349F" w:rsidP="00864C02">
      <w:pPr>
        <w:tabs>
          <w:tab w:val="left" w:pos="0"/>
        </w:tabs>
        <w:spacing w:after="0"/>
      </w:pPr>
      <w:r>
        <w:pict w14:anchorId="1438B76B">
          <v:shape id="_x0000_i1033" type="#_x0000_t75" style="width:356.35pt;height:209.8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57FF2061" w:rsidR="0022436A" w:rsidRDefault="0029349F" w:rsidP="00864C02">
      <w:pPr>
        <w:tabs>
          <w:tab w:val="left" w:pos="0"/>
        </w:tabs>
        <w:spacing w:after="0"/>
      </w:pPr>
      <w:r>
        <w:pict w14:anchorId="4B92C0E6">
          <v:shape id="_x0000_i1034" type="#_x0000_t75" style="width:286.45pt;height:209.25pt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53366217" w:rsidR="0022436A" w:rsidRDefault="0029349F" w:rsidP="005F6E98">
      <w:pPr>
        <w:tabs>
          <w:tab w:val="left" w:pos="2931"/>
        </w:tabs>
        <w:spacing w:after="0"/>
      </w:pPr>
      <w:r>
        <w:lastRenderedPageBreak/>
        <w:pict w14:anchorId="4E3B4798">
          <v:shape id="_x0000_i1035" type="#_x0000_t75" style="width:496.75pt;height:201pt">
            <v:imagedata r:id="rId20" o:title=""/>
          </v:shape>
        </w:pict>
      </w:r>
      <w:r>
        <w:pict w14:anchorId="03DE9B14">
          <v:shape id="_x0000_i1036" type="#_x0000_t75" style="width:379.7pt;height:216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2BD027D3" w:rsidR="0022436A" w:rsidRDefault="0029349F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0B21D40A">
          <v:shape id="_x0000_i1037" type="#_x0000_t75" style="width:248.65pt;height:186.45pt">
            <v:imagedata r:id="rId22" o:title=""/>
          </v:shape>
        </w:pict>
      </w:r>
    </w:p>
    <w:p w14:paraId="11A7BD4F" w14:textId="23B678F4" w:rsidR="0022436A" w:rsidRDefault="0029349F" w:rsidP="005F6E98">
      <w:pPr>
        <w:tabs>
          <w:tab w:val="left" w:pos="2931"/>
        </w:tabs>
        <w:spacing w:after="0"/>
      </w:pPr>
      <w:r>
        <w:lastRenderedPageBreak/>
        <w:pict w14:anchorId="6B6F30F8">
          <v:shape id="_x0000_i1038" type="#_x0000_t75" style="width:514.9pt;height:198.9pt">
            <v:imagedata r:id="rId23" o:title=""/>
          </v:shape>
        </w:pict>
      </w:r>
      <w:r>
        <w:pict w14:anchorId="6D26F51D">
          <v:shape id="_x0000_i1039" type="#_x0000_t75" style="width:379.7pt;height:216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7B5CDEC6" w:rsidR="0022436A" w:rsidRDefault="0029349F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5F487FD4">
          <v:shape id="_x0000_i1040" type="#_x0000_t75" style="width:266.25pt;height:203.05pt">
            <v:imagedata r:id="rId25" o:title=""/>
          </v:shape>
        </w:pict>
      </w:r>
    </w:p>
    <w:p w14:paraId="7F09F463" w14:textId="0CD56EFA" w:rsidR="009A3867" w:rsidRDefault="0029349F" w:rsidP="005F6E98">
      <w:pPr>
        <w:tabs>
          <w:tab w:val="left" w:pos="2931"/>
        </w:tabs>
        <w:spacing w:after="0"/>
      </w:pPr>
      <w:r>
        <w:lastRenderedPageBreak/>
        <w:pict w14:anchorId="291E5CA8">
          <v:shape id="_x0000_i1041" type="#_x0000_t75" style="width:525.75pt;height:202.55pt">
            <v:imagedata r:id="rId26" o:title=""/>
          </v:shape>
        </w:pict>
      </w:r>
      <w:r>
        <w:pict w14:anchorId="6FE1A63C">
          <v:shape id="_x0000_i1042" type="#_x0000_t75" style="width:387.95pt;height:222.2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61D6A4EE" w:rsidR="0022436A" w:rsidRDefault="0029349F" w:rsidP="005F6E98">
      <w:pPr>
        <w:tabs>
          <w:tab w:val="left" w:pos="2931"/>
        </w:tabs>
        <w:spacing w:after="0"/>
      </w:pPr>
      <w:r>
        <w:pict w14:anchorId="76EF9FE9">
          <v:shape id="_x0000_i1043" type="#_x0000_t75" style="width:235.15pt;height:207.7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63F32597" w:rsidR="00500948" w:rsidRDefault="0029349F" w:rsidP="005F6E98">
      <w:pPr>
        <w:tabs>
          <w:tab w:val="left" w:pos="2931"/>
        </w:tabs>
        <w:spacing w:after="0"/>
      </w:pPr>
      <w:r>
        <w:pict w14:anchorId="34776890">
          <v:shape id="_x0000_i1044" type="#_x0000_t75" style="width:523.7pt;height:218.6pt">
            <v:imagedata r:id="rId29" o:title=""/>
          </v:shape>
        </w:pict>
      </w:r>
    </w:p>
    <w:p w14:paraId="436790D7" w14:textId="3F06E9BA" w:rsidR="00500948" w:rsidRDefault="0029349F" w:rsidP="005F6E98">
      <w:pPr>
        <w:tabs>
          <w:tab w:val="left" w:pos="2931"/>
        </w:tabs>
        <w:spacing w:after="0"/>
      </w:pPr>
      <w:r>
        <w:pict w14:anchorId="3B8D83D2">
          <v:shape id="_x0000_i1045" type="#_x0000_t75" style="width:508.15pt;height:187pt">
            <v:imagedata r:id="rId30" o:title=""/>
          </v:shape>
        </w:pict>
      </w:r>
    </w:p>
    <w:p w14:paraId="772C5D12" w14:textId="24376A5D" w:rsidR="00500948" w:rsidRDefault="0029349F" w:rsidP="005F6E98">
      <w:pPr>
        <w:tabs>
          <w:tab w:val="left" w:pos="2931"/>
        </w:tabs>
        <w:spacing w:after="0"/>
      </w:pPr>
      <w:r>
        <w:pict w14:anchorId="20CAEEC9">
          <v:shape id="_x0000_i1046" type="#_x0000_t75" style="width:239.3pt;height:258.4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6DB9DA8A" w:rsidR="002C020A" w:rsidRDefault="0029349F" w:rsidP="002C020A">
      <w:pPr>
        <w:tabs>
          <w:tab w:val="left" w:pos="2931"/>
        </w:tabs>
        <w:spacing w:after="0"/>
      </w:pPr>
      <w:r>
        <w:pict w14:anchorId="1518A68B">
          <v:shape id="_x0000_i1047" type="#_x0000_t75" style="width:789.4pt;height:101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64F01FC1" w:rsidR="002C020A" w:rsidRDefault="0029349F" w:rsidP="0096181F">
      <w:pPr>
        <w:tabs>
          <w:tab w:val="left" w:pos="2931"/>
        </w:tabs>
        <w:spacing w:after="0"/>
        <w:jc w:val="center"/>
      </w:pPr>
      <w:r>
        <w:pict w14:anchorId="4ACAE641">
          <v:shape id="_x0000_i1048" type="#_x0000_t75" style="width:465.65pt;height:259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4FF8B71C" w:rsidR="009A3867" w:rsidRDefault="0029349F" w:rsidP="009A3867">
      <w:pPr>
        <w:tabs>
          <w:tab w:val="left" w:pos="2931"/>
        </w:tabs>
        <w:spacing w:after="0"/>
      </w:pPr>
      <w:r>
        <w:pict w14:anchorId="722D53E7">
          <v:shape id="_x0000_i1049" type="#_x0000_t75" style="width:723.1pt;height:356.3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637CBF60" w14:textId="77777777" w:rsidR="0096516F" w:rsidRDefault="0096516F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604F765D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7474DEE3" w:rsidR="009A3867" w:rsidRDefault="0029349F" w:rsidP="009A3867">
      <w:pPr>
        <w:tabs>
          <w:tab w:val="left" w:pos="2931"/>
        </w:tabs>
        <w:spacing w:after="0"/>
      </w:pPr>
      <w:r>
        <w:pict w14:anchorId="072368B7">
          <v:shape id="_x0000_i1050" type="#_x0000_t75" style="width:723.1pt;height:349.1pt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80668D7" w14:textId="77777777" w:rsidR="0096516F" w:rsidRDefault="0096516F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43C6ADCD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6C3E8A95" w:rsidR="002C020A" w:rsidRDefault="0029349F" w:rsidP="002C020A">
      <w:pPr>
        <w:tabs>
          <w:tab w:val="left" w:pos="2931"/>
        </w:tabs>
        <w:spacing w:after="0"/>
      </w:pPr>
      <w:r>
        <w:pict w14:anchorId="4B7BECF7">
          <v:shape id="_x0000_i1051" type="#_x0000_t75" style="width:723.1pt;height:348.6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379E5C86" w14:textId="51505340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4B2B8487" w14:textId="5F881D7C" w:rsidR="0096181F" w:rsidRDefault="0096181F" w:rsidP="002C020A">
      <w:pPr>
        <w:tabs>
          <w:tab w:val="left" w:pos="2931"/>
        </w:tabs>
        <w:spacing w:after="0"/>
      </w:pPr>
    </w:p>
    <w:p w14:paraId="72F704E8" w14:textId="09842874" w:rsidR="0096181F" w:rsidRDefault="0096181F" w:rsidP="002C020A">
      <w:pPr>
        <w:tabs>
          <w:tab w:val="left" w:pos="2931"/>
        </w:tabs>
        <w:spacing w:after="0"/>
        <w:rPr>
          <w:sz w:val="8"/>
        </w:rPr>
      </w:pPr>
    </w:p>
    <w:p w14:paraId="79B5384B" w14:textId="77777777" w:rsidR="0096516F" w:rsidRDefault="0096516F" w:rsidP="0096516F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68F0D20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6585F138" w:rsidR="002C020A" w:rsidRDefault="0029349F" w:rsidP="002C020A">
      <w:pPr>
        <w:tabs>
          <w:tab w:val="left" w:pos="2931"/>
        </w:tabs>
        <w:spacing w:after="0"/>
      </w:pPr>
      <w:r>
        <w:pict w14:anchorId="53790A1E">
          <v:shape id="_x0000_i1052" type="#_x0000_t75" style="width:768.15pt;height:119.6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6EFE94C0" w:rsidR="002C020A" w:rsidRDefault="0029349F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17ECB593">
          <v:shape id="_x0000_i1053" type="#_x0000_t75" style="width:439.25pt;height:259pt">
            <v:imagedata r:id="rId38" o:title=""/>
          </v:shape>
        </w:pict>
      </w:r>
    </w:p>
    <w:p w14:paraId="1D8FFA91" w14:textId="0B1DA3E1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78C3FED" w14:textId="77777777" w:rsidR="002C020A" w:rsidRDefault="002C020A" w:rsidP="002C020A">
      <w:pPr>
        <w:tabs>
          <w:tab w:val="left" w:pos="2931"/>
        </w:tabs>
        <w:spacing w:after="0"/>
      </w:pPr>
    </w:p>
    <w:p w14:paraId="0C9D5916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A7560D7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410FF36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1B6BB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1C0795F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FFCDB52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276C045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65DE6C31" w14:textId="096FEA64" w:rsidR="00043847" w:rsidRDefault="00043847" w:rsidP="006A2E8D"/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22E5A4C7" w:rsidR="00043847" w:rsidRDefault="0029349F" w:rsidP="006A2E8D">
      <w:r>
        <w:pict w14:anchorId="6BD9F054">
          <v:shape id="_x0000_i1054" type="#_x0000_t75" style="width:744.35pt;height:335.65pt">
            <v:imagedata r:id="rId39" o:title=""/>
          </v:shape>
        </w:pict>
      </w:r>
    </w:p>
    <w:p w14:paraId="3870239C" w14:textId="77777777" w:rsidR="00043847" w:rsidRDefault="00043847" w:rsidP="006A2E8D"/>
    <w:p w14:paraId="4112EC1E" w14:textId="77777777" w:rsidR="00043847" w:rsidRDefault="00043847" w:rsidP="006A2E8D"/>
    <w:p w14:paraId="0DF90994" w14:textId="77777777" w:rsidR="00043847" w:rsidRDefault="00043847" w:rsidP="00215575"/>
    <w:p w14:paraId="2A0357E9" w14:textId="77777777" w:rsidR="0096516F" w:rsidRDefault="0096516F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383D7D79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235F9538" w:rsidR="00282956" w:rsidRPr="00FB5DDA" w:rsidRDefault="0029349F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5C4021DA">
          <v:shape id="_x0000_i1055" type="#_x0000_t75" style="width:712.75pt;height:338.25pt">
            <v:imagedata r:id="rId40" o:title=""/>
          </v:shape>
        </w:pict>
      </w:r>
    </w:p>
    <w:p w14:paraId="2DBCBC90" w14:textId="3E532A85" w:rsidR="00215575" w:rsidRDefault="00215575" w:rsidP="00215575"/>
    <w:p w14:paraId="1793176C" w14:textId="0D8F7A01" w:rsidR="00282956" w:rsidRDefault="00282956" w:rsidP="00215575"/>
    <w:p w14:paraId="014E44EE" w14:textId="32B72246" w:rsidR="00282956" w:rsidRDefault="00282956" w:rsidP="00215575"/>
    <w:p w14:paraId="36AAA52B" w14:textId="4B8F239F" w:rsidR="00282956" w:rsidRDefault="00282956" w:rsidP="00215575"/>
    <w:p w14:paraId="4D56675F" w14:textId="06C894D6" w:rsidR="00282956" w:rsidRDefault="00282956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41C0244E" w:rsidR="00282956" w:rsidRDefault="0029349F" w:rsidP="00215575">
      <w:r>
        <w:pict w14:anchorId="241E8424">
          <v:shape id="_x0000_i1056" type="#_x0000_t75" style="width:744.35pt;height:332.05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62856762" w:rsidR="00FB5DDA" w:rsidRDefault="0029349F" w:rsidP="00215575">
      <w:r>
        <w:pict w14:anchorId="16840A22">
          <v:shape id="_x0000_i1057" type="#_x0000_t75" style="width:736.6pt;height:332.0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9" name="Imagen 19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4E96FD64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EC5F32" w:rsidRPr="00EC5F32">
                            <w:rPr>
                              <w:b/>
                              <w:color w:val="385623" w:themeColor="accent6" w:themeShade="80"/>
                            </w:rPr>
                            <w:t>30 de abril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4E96FD64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EC5F32" w:rsidRPr="00EC5F32">
                      <w:rPr>
                        <w:b/>
                        <w:color w:val="385623" w:themeColor="accent6" w:themeShade="80"/>
                      </w:rPr>
                      <w:t>30 de abril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0" name="Imagen 20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21" name="Imagen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19A2B804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4E0C658A"/>
    <w:multiLevelType w:val="hybridMultilevel"/>
    <w:tmpl w:val="EB62B3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4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7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4"/>
  </w:num>
  <w:num w:numId="6" w16cid:durableId="1406030193">
    <w:abstractNumId w:val="8"/>
  </w:num>
  <w:num w:numId="7" w16cid:durableId="1050619068">
    <w:abstractNumId w:val="10"/>
  </w:num>
  <w:num w:numId="8" w16cid:durableId="837380848">
    <w:abstractNumId w:val="15"/>
  </w:num>
  <w:num w:numId="9" w16cid:durableId="1687903652">
    <w:abstractNumId w:val="16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2"/>
  </w:num>
  <w:num w:numId="15" w16cid:durableId="874082252">
    <w:abstractNumId w:val="11"/>
  </w:num>
  <w:num w:numId="16" w16cid:durableId="905188103">
    <w:abstractNumId w:val="13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177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85DFF"/>
    <w:rsid w:val="00092838"/>
    <w:rsid w:val="000B7802"/>
    <w:rsid w:val="000C3F40"/>
    <w:rsid w:val="000C7F48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47D3"/>
    <w:rsid w:val="00282956"/>
    <w:rsid w:val="0028622C"/>
    <w:rsid w:val="0029349F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5936"/>
    <w:rsid w:val="00331790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605A9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53D5"/>
    <w:rsid w:val="005169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6E98"/>
    <w:rsid w:val="00604CE7"/>
    <w:rsid w:val="00607D7B"/>
    <w:rsid w:val="0062411E"/>
    <w:rsid w:val="00642822"/>
    <w:rsid w:val="006451F8"/>
    <w:rsid w:val="00653A71"/>
    <w:rsid w:val="00653F3F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3D3F"/>
    <w:rsid w:val="00904981"/>
    <w:rsid w:val="009159B5"/>
    <w:rsid w:val="009206E6"/>
    <w:rsid w:val="0093189A"/>
    <w:rsid w:val="00935683"/>
    <w:rsid w:val="00946DB7"/>
    <w:rsid w:val="00956099"/>
    <w:rsid w:val="00957C22"/>
    <w:rsid w:val="0096181F"/>
    <w:rsid w:val="0096516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D2B89"/>
    <w:rsid w:val="00AD5862"/>
    <w:rsid w:val="00AF093D"/>
    <w:rsid w:val="00B04392"/>
    <w:rsid w:val="00B10EA0"/>
    <w:rsid w:val="00B16DEF"/>
    <w:rsid w:val="00B22A97"/>
    <w:rsid w:val="00B3023B"/>
    <w:rsid w:val="00B66E5D"/>
    <w:rsid w:val="00B67160"/>
    <w:rsid w:val="00B70636"/>
    <w:rsid w:val="00B805DE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536D"/>
    <w:rsid w:val="00EC5F32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3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1553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REYES MATA</dc:creator>
  <cp:keywords/>
  <dc:description/>
  <cp:lastModifiedBy>Esther Pérez de Vargas Bonilla</cp:lastModifiedBy>
  <cp:revision>2</cp:revision>
  <cp:lastPrinted>2023-05-22T09:20:00Z</cp:lastPrinted>
  <dcterms:created xsi:type="dcterms:W3CDTF">2023-05-26T12:54:00Z</dcterms:created>
  <dcterms:modified xsi:type="dcterms:W3CDTF">2023-05-26T12:54:00Z</dcterms:modified>
</cp:coreProperties>
</file>